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218</w:t>
      </w:r>
    </w:p>
    <w:p>
      <w:r>
        <w:t>Bundesgericht (BGE), 2020-05-06, FR</w:t>
      </w:r>
    </w:p>
    <w:p>
      <w:r>
        <w:rPr>
          <w:b/>
        </w:rPr>
        <w:t xml:space="preserve">Quelle: </w:t>
      </w:r>
      <w:r>
        <w:t>https://mcp.opencaselaw.ch/entscheid/bge_146 IV 218</w:t>
      </w:r>
    </w:p>
    <w:p>
      <w:r>
        <w:t>FR: ATF 146 IV 218</w:t>
      </w:r>
    </w:p>
    <w:p>
      <w:r>
        <w:t>IT: DTF 146 IV 218</w:t>
      </w:r>
    </w:p>
    <w:p>
      <w:pPr>
        <w:pStyle w:val="Heading2"/>
      </w:pPr>
      <w:r>
        <w:t>Regeste</w:t>
      </w:r>
    </w:p>
    <w:p>
      <w:r>
        <w:t>Regeste Akteneinsichtsrecht; Geheimhaltungspflicht betreffend das Verfahren und die davon betroffenen Personen; Kommunikation zwischen der Verteidigung und ihrer Mandantschaft (Art. 73 Abs. 2, 101 Abs. 1, 102 Abs. 1, 108 und 128 StPO; Art. 398 Abs. 2 OR; Art. 12 BGFA). Die Untersuchungsleitung darf der Verteidigung nicht verbieten, die beschuldigte Person als Mandantin über den Inhalt von Dokumenten zu unterrichten, die sich in den Strafakten befinden. Ein solches Verbot würde die Ausübung des Mandates in einer mit den Berufsregeln der Verteidigung nicht zu vereinbarenden Weise einschränken. Eine Verpflichtung gemäss Art. 73 Abs. 2 StPO, über das Verfahren und die davon betroffenen Personen Stillschweigen zu bewahren, kann sich insbesondere nicht auf die interne Kommunikation zwischen der Rechtsvertretung und ihrer Mandantschaft erstrecken, und zwar egal, ob die Rechtsvertretung für eine beschuldigte Person, die Privatklägerschaft oder eine andere verfahrensbeteiligte Person erfolgt. Die Geheimhaltungsmassnahme nach Art. 73 Abs. 2 StPO zielt vielmehr darauf ab, die Kommunikation von geheimen Tatsachen nach Aussen, an nicht verfahrensbeteiligte Dritte, zu unterbinden (E. 3).</w:t>
      </w:r>
    </w:p>
    <w:p>
      <w:pPr>
        <w:pStyle w:val="Heading2"/>
      </w:pPr>
      <w:r>
        <w:t>Erwägungen</w:t>
      </w:r>
    </w:p>
    <w:p>
      <w:r>
        <w:rPr>
          <w:b/>
        </w:rPr>
        <w:t>E. 3</w:t>
      </w:r>
    </w:p>
    <w:p>
      <w:r>
        <w:t>Le recourant ne conteste pas, à ce stade de la procédure, l'interdiction qui lui est faite de consulter le rapport F. non caviardé. Il fait valoir en revanche que les modalités de consultation de ce rapport, dans sa version originale, par son défenseur ne respectent pas son droit d'être entendu et l'empêchent de disposer d'une défense efficace.</w:t>
      </w:r>
    </w:p>
    <w:p>
      <w:r>
        <w:rPr>
          <w:b/>
        </w:rPr>
        <w:t>E. 3.1.1</w:t>
      </w:r>
    </w:p>
    <w:p>
      <w:r>
        <w:t>Le droit d'être entendu, garanti à l' art. 29 al. 2 Cst. ,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 ATF 142 II 218 consid. 2.3 p. 222; ATF 140 I 285 consid. 6.3.1 p. 299). Tel que garanti par les art. 3 al. 2 let . c CPP et 29 al. 2 Cst., le droit d'être entendu comprend, par ailleurs, le droit pour les parties de prendre connaissance du dossier ( ATF 126 I 7 consid. 2b p. 10; arrêt BGE 146 IV 218 S. 222 6B_688/2014 du 22 décembre 2017 consid. 6.1.1). Concrétisant les garanties relatives à un procès équitable et aux droits de la défense ( art. 32 al. 2 Cst. et 6 par. 3 CEDH), l'accès au dossier est en outre garanti, en procédure pénale, de manière générale par les art. 101 al. 1 et 107 al. 1 let. a CPP (arrêts 6B_1456/2017 du 14 mai 2018 consid. 2.1; 1B_445/2012 du 8 novembre 2012 consid. 3.2).</w:t>
      </w:r>
    </w:p>
    <w:p>
      <w:r>
        <w:rPr>
          <w:b/>
        </w:rPr>
        <w:t>E. 3.1.2</w:t>
      </w:r>
    </w:p>
    <w:p>
      <w:r>
        <w:t>Aux termes de l' art. 101 al. 1 CPP , les parties peuvent consulter le dossier d'une procédure pénale pendante, au plus tard après la première audition du prévenu et l'administration des preuves principales par le ministère public. Le droit à la consultation du dossier n'est toutefois pas absolu, l' art. 101 al. 1 CPP réservant expressément l' art. 108 CPP , lequel prévoit notamment que les autorités pénales peuvent restreindre le droit d'une partie à être entendue, et partant à consulter le dossier, lorsqu'il y a de bonnes raisons de soupçonner que cette partie abuse de ses droits (al. 1 let. a) ou lorsque cela est nécessaire pour assurer la sécurité de personnes ou pour protéger des intérêts publics ou privés au maintien du secret (al. 1 let. b). Des restrictions au droit de consulter le dossier doivent toutefois être ordonnées avec retenue et dans le respect du principe de la proportionnalité (arrêts 1B_112/2019 du 15 octobre 2019 consid. 3.1; 1B_245/2015 du 12 avril 2016 consid. 5.1). C'est à la direction de la procédure qu'il appartient de statuer sur la consultation des dossiers. Elle prend dans ce cadre les mesures nécessaires pour prévenir les abus et les retards et pour protéger les intérêts légitimes au maintien du secret ( art. 102 al. 1 CPP ).</w:t>
      </w:r>
    </w:p>
    <w:p>
      <w:r>
        <w:rPr>
          <w:b/>
        </w:rPr>
        <w:t>E. 3.1.3</w:t>
      </w:r>
    </w:p>
    <w:p>
      <w:r>
        <w:t>En vertu de l' art. 108 al. 2 CPP , il n'est licite de frapper de restrictions les conseils juridiques des parties qu'en raison de motifs tenant à leur comportement. Il n'est à cet égard pas exclu que le conseil juridique puisse avoir accès à certains documents alors même que son client n'est pas autorisé à en prendre directement connaissance (Message du 21 décembre 2005 relatif à l'unification du droit de la procédure pénale, FF 2006 1143). Ce statut privilégié repose sur la considération qu'en tant qu'auxiliaire de la justice, l'avocat doit exercer son mandat avec diligence et en toute indépendance (art. 12 let. a et b de la loi du 23 juin 2000 sur la libre circulation des avocats [LLCA]), et s'abstenir de tout procédé allant au-delà de ce qu'exige la défense de son client. Sur ce point, l'avocat bénéficie d'une présomption qui permet notamment de recevoir en mains propres et sous sa propre responsabilité les éléments du dossier, indépendamment BGE 146 IV 218 S. 223 des doutes qui pourraient exister à l'égard de son client (arrêt 1B_445/2012 du 8 novembre 2012 consid. 3.3.2).</w:t>
      </w:r>
    </w:p>
    <w:p>
      <w:r>
        <w:rPr>
          <w:b/>
        </w:rPr>
        <w:t>E. 3.2.1</w:t>
      </w:r>
    </w:p>
    <w:p>
      <w:r>
        <w:t>Dans son acte de recours, le recourant ne remet pas en cause, au regard des secrets d'affaires que le rapport F. est susceptible de contenir, que la consultation de ce document, dans sa version originale, soit réservée à son défenseur uniquement (cf. ch. 2 du dispositif de la décision du 23 novembre 2018). Il indique ne pas se plaindre non plus qu'il soit interdit à son défenseur de lever des copies du document (ch. 5), ni que sa consultation doive s'effectuer en présence de la Procureure, de son greffier ainsi que du mandataire des parties plaignantes (ch. 3). Le recourant se limite ainsi à contester l'interdiction signifiée à son défenseur de lui "faire état" du contenu du document litigieux (ch. 4) ainsi que la commination de la peine d'amende prévue à l' art. 292 CP (ch. 6), dont sont assorties les modalités de consultation de la version originale du rapport F. décrites aux ch. 2 à 5 du dispositif de la décision précitée.</w:t>
      </w:r>
    </w:p>
    <w:p>
      <w:r>
        <w:rPr>
          <w:b/>
        </w:rPr>
        <w:t>E. 3.2.2</w:t>
      </w:r>
    </w:p>
    <w:p>
      <w:r>
        <w:t>Il apparaît que, dans le contexte d'une restriction de l'accès au dossier ordonnée en vertu des art. 102 al. 1 et 108 CPP , l'obligation de garder certains faits secrets, qui serait imposée au défenseur vis-à-vis de son client prévenu, est susceptible d'entrer en conflit avec les règles de la profession d'avocat, en particulier avec ses devoirs de fidélité et de diligence (cf. en ce sens: VIKTOR LIEBER, in Kommentar zur Schweizerischen Strafprozessordnung [StPO], Donatsch/Hansjakob/Lieber [éd.], 2 e éd. 2014, n° 11a ad art. 108 CPP ; SIMONE ZUBERBÜHLER, Geheimhaltungsinteressen und Weisungen der Strafbehörden, 2011, p. 129). Selon l' art. 398 al. 2 CO , le mandataire est en effet responsable, envers le mandant, de la bonne et fidèle exécution du mandat (cf. également art. 12 let. a LLCA ). Ainsi, si l'avocat ne s'oblige pas à un résultat, il doit, en vertu de son obligation de diligence, entreprendre tout ce qui est propre à parvenir à ce résultat ( ATF 139 IV 294 consid. 4.5 p. 300 s. et la référence citée; cf. également, parmi d'autres: WALTER FELLMANN, Anwaltsrecht, 2 e éd. 2017, n. 1203 p. 426). L'avocat s'engage également à conseiller son client, en lui indiquant les diverses options envisageables, les démarches à accomplir ainsi que les chances et risques liés à chaque option ( ATF 127 III 357 consid. 1d p. 360; arrêt 4A_550/2018 du 29 mai 2019 consid. 4.1). Il a BGE 146 IV 218 S. 224 ainsi déjà été jugé, à cet égard, qu'une interdiction, visant un avocat, de communiquer à son mandant (en l'occurrence, la partie plaignante) des données ressortant du dossier pénal était de nature à empêcher une défense efficace des intérêts de ce dernier ( ATF 139 IV 294 précité consid. 4.5 p. 301 et la référence citée). En l'espèce, les défenseurs des prévenus doivent à tout le moins être habilités, pour exercer leur mandat de manière conforme aux règles de la profession d'avocat, expressément réservées par l' art. 128 CPP , à leur rapporter, après la consultation de la version originale du rapport F., les éléments qu'ils estiment pertinents pour l'enquête - qu'ils soient à charge ou à décharge - afin de pouvoir les conseiller utilement quant à d'éventuelles démarches à accomplir dans la suite de la procédure. Dans cette mesure, l'interdiction pure et simple signifiée aux défenseurs de "faire état" à leurs mandants du contenu du rapport F. constitue une restriction disproportionnée du droit d'accès au dossier et partant contraire au droit fédéral.</w:t>
      </w:r>
    </w:p>
    <w:p>
      <w:r>
        <w:rPr>
          <w:b/>
        </w:rPr>
        <w:t>E. 3.2.3</w:t>
      </w:r>
    </w:p>
    <w:p>
      <w:r>
        <w:t>S'agissant plus précisément de la commination de la peine prévue à l' art. 292 CP , dont sont assorties les modalités de consultation du rapport F. non caviardé, il est observé que l' art. 73 al. 2 CPP prévoit certes que la partie plaignante, d'autres participants à la procédure ainsi que leurs conseils juridiques peuvent faire l'objet d'une telle commination portant sur une obligation de garder le silence sur la procédure et sur les personnes impliquées. Si la doctrine est divisée sur le point de savoir si cette norme est également susceptible de concerner le prévenu et, le cas échéant, son défenseur (cf. pour un résumé des avis doctrinaux à ce sujet: STEINER/ARN, in Commentaire romand, Code de procédure pénale suisse, 2 e éd. 2019, n° 15 ad art. 73 CPP ), la question n'a cependant pas à être tranchée dans la présente cause. Il apparaît en effet que l'obligation de garder le silence prévue par l' art. 73 al. 2 CPP ne concerne pas les communications internes entre le conseil juridique et son mandant, qu'il soit prévenu ou autre participant à la procédure, mais vise avant tout à empêcher les communications externes de faits secrets à des personnes étrangères à la procédure pénale. A cet égard, il est déduit du Message que l' art. 73 al. 2 CPP , et la commination à l' art. 292 CP qui y est prévue, doivent permettre de proscrire, lorsque le but de la procédure ou un intérêt privé l'exige, la communication de faits secrets "entre quelques particuliers", permettant en ce sens de combler une lacune de BGE 146 IV 218 S. 225 l' art. 293 CP ("Publication de débats officiels secrets"), lequel ne vise que les secrets livrés "à la publicité" (cf. Message op. cit., FF 2006 1132 ad art. 71 CPP [actuel art. 73 CPP ]). Le Message est en revanche muet quant à une application de la disposition s'agissant des communications internes entre les participants à la procédure et leurs conseils juridiques respectifs. En outre, une interprétation littérale et systématique de la loi ne permet pas de considérer que l' art. 73 CPP ("Obligation de garder le secret"), qui figure au chapitre 8 du CPP ("Règles générales de procédure"), dans la section 3 intitulée "Maintien du secret, information du public, communications à des autorités", autoriserait la direction de la procédure à limiter, en raison de faits à garder secrets, les communications internes entre le conseil juridique et son mandant dans le cadre de la consultation du dossier, ces aspects étant spécifiquement réglés par les art. 127 ss CPP (conseil juridique) et par les art. 100 ss CPP (tenue, consultation et conservation des dossiers), en particulier les art. 101 à 103, 107 et 108 CPP. Cela étant, il apparaît que la commination litigieuse, en tant qu'elle se rapporte à l'interdiction faite au défenseur de "faire état" aux prévenus du contenu du rapport F. dans sa version originale, compromet l'exécution du mandat de défenseur conformément aux règles de la profession d'avocat précitées ( art. 398 al. 2 CO et 12 let. a et b LLCA). En effet, en présence d'éléments que le défenseur estimerait pertinents pour l'enquête, celui-ci se retrouverait devant un dilemme qu'il ne pourrait résoudre qu'en s'exposant à une sanction pénale ou en violant ses obligations découlant du mandat d'avocat, empêchant de la sorte les prévenus de disposer d'une défense efficace. Du reste, si, par hypothèse, une procédure pénale devait être ouverte contre le défenseur en raison de l'infraction réprimée à l' art. 292 CP , il se pourrait alors que celui-ci ait intérêt à évoquer, pour sa défense, des éléments couverts par le secret professionnel le liant à son client, ce qui ne serait pas admissible. Il en irait de même si, dans le cadre d'une telle enquête, le Ministère public était amené à mener des investigations portant sur le contenu des échanges entre l'avocat et son client. Enfin, en tant que la mesure a trait aux autres modalités de consultation du rapport F. (consultation par les défenseurs uniquement, présence de la direction de la procédure et du mandataire des parties plaignantes lors de la consultation, interdiction de lever des copies), BGE 146 IV 218 S. 226 la cour cantonale ne mentionne aucun élément qui permettrait de douter de l'intention des défenseurs concernés de respecter le cadre imposé. Il s'avère ainsi qu'à l'instar de l'interdiction signifiée au défenseur du recourant de lui "faire état" du rapport F., la commination à la peine prévue à l' art. 292 CP visant ce défenseur est également contraire au droit fédéral.</w:t>
      </w:r>
    </w:p>
    <w:p>
      <w:r>
        <w:rPr>
          <w:b/>
        </w:rPr>
        <w:t>E. 3.2.4</w:t>
      </w:r>
    </w:p>
    <w:p>
      <w:r>
        <w:t>Au-delà de ce qui précède, il est encore rappelé qu'aux termes de l' art. 108 al. 3 CPP , les restrictions doivent être limitées temporairement ou à des actes de procédure déterminés. A cet égard, si le Ministère public devait estimer, ensuite de la consultation par les défenseurs, que la version originale du rapport F. comporte des éléments spécifiques pertinents pour l'enquête, il lui appartiendra d'en porter, à tout le moins, le contenu essentiel à la connaissance des prévenus par la suite (cf. art. 108 al. 4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